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jc w:val="center"/>
        <w:rPr>
          <w:rFonts w:ascii="GHEA Grapalat" w:hAnsi="GHEA Grapalat" w:cs="Sylfaen"/>
          <w:b/>
          <w:u w:val="single"/>
          <w:lang w:val="en-US"/>
        </w:rPr>
      </w:pPr>
      <w:r>
        <w:rPr>
          <w:rFonts w:ascii="GHEA Grapalat" w:hAnsi="GHEA Grapalat" w:cs="Sylfaen"/>
          <w:b/>
          <w:u w:val="single"/>
          <w:lang w:val="en-US"/>
        </w:rPr>
        <w:t>ԱՄՓՈՓ ՀԱՇՎԵՏՎՈՒԹՅՈՒՆ</w:t>
      </w:r>
    </w:p>
    <w:p>
      <w:pPr>
        <w:spacing w:line="360" w:lineRule="auto"/>
        <w:jc w:val="center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  <w:lang w:val="en-US"/>
        </w:rPr>
        <w:t>(</w:t>
      </w:r>
      <w:proofErr w:type="spellStart"/>
      <w:proofErr w:type="gramStart"/>
      <w:r>
        <w:rPr>
          <w:rFonts w:ascii="GHEA Grapalat" w:hAnsi="GHEA Grapalat"/>
          <w:szCs w:val="24"/>
          <w:lang w:val="en-US"/>
        </w:rPr>
        <w:t>եռամսյակային</w:t>
      </w:r>
      <w:proofErr w:type="spellEnd"/>
      <w:proofErr w:type="gramEnd"/>
      <w:r>
        <w:rPr>
          <w:rFonts w:ascii="GHEA Grapalat" w:hAnsi="GHEA Grapalat"/>
          <w:szCs w:val="24"/>
          <w:lang w:val="en-US"/>
        </w:rPr>
        <w:t>)</w:t>
      </w:r>
    </w:p>
    <w:p>
      <w:pPr>
        <w:jc w:val="center"/>
        <w:rPr>
          <w:rFonts w:ascii="GHEA Grapalat" w:hAnsi="GHEA Grapalat"/>
          <w:szCs w:val="24"/>
          <w:lang w:val="en-US"/>
        </w:rPr>
      </w:pPr>
    </w:p>
    <w:p>
      <w:pPr>
        <w:jc w:val="center"/>
        <w:rPr>
          <w:rFonts w:ascii="GHEA Grapalat" w:hAnsi="GHEA Grapalat"/>
          <w:lang w:val="en-US"/>
        </w:rPr>
      </w:pPr>
    </w:p>
    <w:p>
      <w:pPr>
        <w:jc w:val="center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  <w:lang w:val="en-US"/>
        </w:rPr>
        <w:t xml:space="preserve">2024թ.-ի 3-րդ </w:t>
      </w:r>
      <w:proofErr w:type="spellStart"/>
      <w:r>
        <w:rPr>
          <w:rFonts w:ascii="GHEA Grapalat" w:hAnsi="GHEA Grapalat"/>
          <w:szCs w:val="24"/>
          <w:lang w:val="en-US"/>
        </w:rPr>
        <w:t>եռամսյակի</w:t>
      </w:r>
      <w:proofErr w:type="spellEnd"/>
      <w:r>
        <w:rPr>
          <w:rFonts w:ascii="GHEA Grapalat" w:hAnsi="GHEA Grapalat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Cs w:val="24"/>
          <w:lang w:val="en-US"/>
        </w:rPr>
        <w:t>ընթացքում</w:t>
      </w:r>
      <w:proofErr w:type="spellEnd"/>
      <w:r>
        <w:rPr>
          <w:rFonts w:ascii="GHEA Grapalat" w:hAnsi="GHEA Grapalat"/>
          <w:szCs w:val="24"/>
          <w:lang w:val="en-US"/>
        </w:rPr>
        <w:t xml:space="preserve"> ՀՀ </w:t>
      </w:r>
      <w:proofErr w:type="spellStart"/>
      <w:r>
        <w:rPr>
          <w:rFonts w:ascii="GHEA Grapalat" w:hAnsi="GHEA Grapalat"/>
          <w:szCs w:val="24"/>
          <w:lang w:val="en-US"/>
        </w:rPr>
        <w:t>ազգային</w:t>
      </w:r>
      <w:proofErr w:type="spellEnd"/>
      <w:r>
        <w:rPr>
          <w:rFonts w:ascii="GHEA Grapalat" w:hAnsi="GHEA Grapalat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Cs w:val="24"/>
          <w:lang w:val="en-US"/>
        </w:rPr>
        <w:t>անվտանգության</w:t>
      </w:r>
      <w:proofErr w:type="spellEnd"/>
    </w:p>
    <w:p>
      <w:pPr>
        <w:jc w:val="center"/>
        <w:rPr>
          <w:rFonts w:ascii="GHEA Grapalat" w:hAnsi="GHEA Grapalat"/>
          <w:szCs w:val="24"/>
          <w:lang w:val="en-US"/>
        </w:rPr>
      </w:pPr>
      <w:proofErr w:type="spellStart"/>
      <w:proofErr w:type="gramStart"/>
      <w:r>
        <w:rPr>
          <w:rFonts w:ascii="GHEA Grapalat" w:hAnsi="GHEA Grapalat"/>
          <w:szCs w:val="24"/>
          <w:lang w:val="en-US"/>
        </w:rPr>
        <w:t>ծառայություն</w:t>
      </w:r>
      <w:proofErr w:type="spellEnd"/>
      <w:proofErr w:type="gramEnd"/>
      <w:r>
        <w:rPr>
          <w:rFonts w:ascii="GHEA Grapalat" w:hAnsi="GHEA Grapalat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Cs w:val="24"/>
          <w:lang w:val="en-US"/>
        </w:rPr>
        <w:t>ֆիզիկական</w:t>
      </w:r>
      <w:proofErr w:type="spellEnd"/>
      <w:r>
        <w:rPr>
          <w:rFonts w:ascii="GHEA Grapalat" w:hAnsi="GHEA Grapalat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Cs w:val="24"/>
          <w:lang w:val="en-US"/>
        </w:rPr>
        <w:t>իրավաբանական</w:t>
      </w:r>
      <w:proofErr w:type="spellEnd"/>
      <w:r>
        <w:rPr>
          <w:rFonts w:ascii="GHEA Grapalat" w:hAnsi="GHEA Grapalat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Cs w:val="24"/>
          <w:lang w:val="en-US"/>
        </w:rPr>
        <w:t>անձանցից</w:t>
      </w:r>
      <w:proofErr w:type="spellEnd"/>
      <w:r>
        <w:rPr>
          <w:rFonts w:ascii="GHEA Grapalat" w:hAnsi="GHEA Grapalat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Cs w:val="24"/>
          <w:lang w:val="en-US"/>
        </w:rPr>
        <w:t>ստացված</w:t>
      </w:r>
      <w:proofErr w:type="spellEnd"/>
      <w:r>
        <w:rPr>
          <w:rFonts w:ascii="GHEA Grapalat" w:hAnsi="GHEA Grapalat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Cs w:val="24"/>
          <w:lang w:val="en-US"/>
        </w:rPr>
        <w:t>դիմումների</w:t>
      </w:r>
      <w:proofErr w:type="spellEnd"/>
      <w:r>
        <w:rPr>
          <w:rFonts w:ascii="GHEA Grapalat" w:hAnsi="GHEA Grapalat"/>
          <w:szCs w:val="24"/>
          <w:lang w:val="en-US"/>
        </w:rPr>
        <w:t>,</w:t>
      </w:r>
    </w:p>
    <w:p>
      <w:pPr>
        <w:jc w:val="center"/>
        <w:rPr>
          <w:rFonts w:ascii="GHEA Grapalat" w:hAnsi="GHEA Grapalat"/>
          <w:szCs w:val="24"/>
          <w:lang w:val="en-US"/>
        </w:rPr>
      </w:pPr>
      <w:proofErr w:type="spellStart"/>
      <w:proofErr w:type="gramStart"/>
      <w:r>
        <w:rPr>
          <w:rFonts w:ascii="GHEA Grapalat" w:hAnsi="GHEA Grapalat"/>
          <w:szCs w:val="24"/>
          <w:lang w:val="en-US"/>
        </w:rPr>
        <w:t>բողոքների</w:t>
      </w:r>
      <w:proofErr w:type="spellEnd"/>
      <w:proofErr w:type="gramEnd"/>
      <w:r>
        <w:rPr>
          <w:rFonts w:ascii="GHEA Grapalat" w:hAnsi="GHEA Grapalat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Cs w:val="24"/>
          <w:lang w:val="en-US"/>
        </w:rPr>
        <w:t>առաջարկությունների</w:t>
      </w:r>
      <w:proofErr w:type="spellEnd"/>
      <w:r>
        <w:rPr>
          <w:rFonts w:ascii="GHEA Grapalat" w:hAnsi="GHEA Grapalat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Cs w:val="24"/>
          <w:lang w:val="en-US"/>
        </w:rPr>
        <w:t>հարցումների</w:t>
      </w:r>
      <w:proofErr w:type="spellEnd"/>
      <w:r>
        <w:rPr>
          <w:rFonts w:ascii="GHEA Grapalat" w:hAnsi="GHEA Grapalat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Cs w:val="24"/>
          <w:lang w:val="en-US"/>
        </w:rPr>
        <w:t>վերաբերյալ</w:t>
      </w:r>
      <w:proofErr w:type="spellEnd"/>
    </w:p>
    <w:p>
      <w:pPr>
        <w:rPr>
          <w:rFonts w:ascii="GHEA Grapalat" w:hAnsi="GHEA Grapalat"/>
          <w:sz w:val="20"/>
          <w:lang w:val="en-US"/>
        </w:rPr>
      </w:pPr>
    </w:p>
    <w:p>
      <w:pPr>
        <w:jc w:val="center"/>
        <w:rPr>
          <w:rFonts w:ascii="GHEA Grapalat" w:hAnsi="GHEA Grapalat"/>
          <w:sz w:val="20"/>
          <w:lang w:val="en-US"/>
        </w:rPr>
      </w:pPr>
    </w:p>
    <w:p>
      <w:pPr>
        <w:rPr>
          <w:rFonts w:ascii="Sylfaen" w:hAnsi="Sylfaen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ՀՀ ԱԱԾ </w:t>
      </w:r>
      <w:proofErr w:type="spellStart"/>
      <w:r>
        <w:rPr>
          <w:rFonts w:ascii="GHEA Grapalat" w:hAnsi="GHEA Grapalat" w:cs="Sylfaen"/>
          <w:lang w:val="en-US"/>
        </w:rPr>
        <w:t>տնօրենի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աշխատակազմ</w:t>
      </w:r>
      <w:proofErr w:type="spellEnd"/>
    </w:p>
    <w:sectPr>
      <w:pgSz w:w="12240" w:h="15840"/>
      <w:pgMar w:top="720" w:right="1440" w:bottom="1440" w:left="1440" w:header="720" w:footer="720" w:gutter="0"/>
      <w:cols w:space="720"/>
      <w:docGrid w:linePitch="360"/>
    </w:sectPr>
    <w:tbl>
      <w:tblPr>
        <w:tblpPr w:leftFromText="180" w:rightFromText="180" w:vertAnchor="text" w:horzAnchor="margin" w:tblpX="-460" w:tblpY="-52"/>
        <w:tblW w:w="10188" w:type="dxa"/>
        <w:tblLook w:val="04A0"/>
      </w:tblPr>
      <w:tblGrid>
        <w:gridCol w:w="391"/>
        <w:gridCol w:w="301"/>
        <w:gridCol w:w="3081"/>
        <w:gridCol w:w="59"/>
        <w:gridCol w:w="1419"/>
        <w:gridCol w:w="2159"/>
        <w:gridCol w:w="102"/>
        <w:gridCol w:w="2676"/>
      </w:tblGrid>
      <w:tr>
        <w:trPr>
          <w:cantSplit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1.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lang w:val="en-US"/>
              </w:rPr>
            </w:pP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lang w:val="en-US"/>
              </w:rPr>
              <w:t>Ստացված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lang w:val="en-US"/>
              </w:rPr>
              <w:t>նամակներ</w:t>
            </w:r>
            <w:proofErr w:type="spellEnd"/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1"/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>
              <w:rPr>
                <w:rFonts w:ascii="GHEA Grapalat" w:eastAsia="Arial Unicode MS" w:hAnsi="GHEA Grapalat" w:cs="Arial Unicode MS"/>
                <w:sz w:val="20"/>
              </w:rPr>
              <w:t>Քանակը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lang w:val="en-US"/>
              </w:rPr>
            </w:pP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lang w:val="en-US"/>
              </w:rPr>
              <w:t>Տոկոսային</w:t>
            </w:r>
            <w:proofErr w:type="spellEnd"/>
          </w:p>
          <w:p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lang w:val="en-US"/>
              </w:rPr>
            </w:pP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lang w:val="en-US"/>
              </w:rPr>
              <w:t>արտահայտությամբ</w:t>
            </w:r>
            <w:proofErr w:type="spellEnd"/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lang w:val="en-US"/>
              </w:rPr>
            </w:pP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lang w:val="en-US"/>
              </w:rPr>
              <w:t>Ծանոթություն</w:t>
            </w:r>
            <w:proofErr w:type="spellEnd"/>
          </w:p>
        </w:tc>
      </w:tr>
      <w:tr>
        <w:trPr>
          <w:cantSplit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1"/>
              </w:num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առցանց</w:t>
            </w:r>
            <w:proofErr w:type="spellEnd"/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0.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3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%  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</w:p>
        </w:tc>
      </w:tr>
      <w:tr>
        <w:trPr>
          <w:cantSplit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1"/>
              </w:num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թեժ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գծին</w:t>
            </w:r>
            <w:proofErr w:type="spellEnd"/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870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GHEA Grapalat" w:eastAsia="Arial Unicode MS" w:hAnsi="GHEA Grapalat" w:cs="Arial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"/>
                <w:bCs/>
                <w:sz w:val="20"/>
                <w:lang w:val="en-US"/>
              </w:rPr>
              <w:t>46</w:t>
            </w:r>
            <w:r>
              <w:rPr>
                <w:rFonts w:ascii="GHEA Grapalat" w:eastAsia="Arial Unicode MS" w:hAnsi="GHEA Grapalat" w:cs="Arial"/>
                <w:bCs/>
                <w:sz w:val="20"/>
                <w:lang w:val="en-US"/>
              </w:rPr>
              <w:t>.</w:t>
            </w:r>
            <w:r>
              <w:rPr>
                <w:rFonts w:ascii="GHEA Grapalat" w:eastAsia="Arial Unicode MS" w:hAnsi="GHEA Grapalat" w:cs="Arial"/>
                <w:bCs/>
                <w:sz w:val="20"/>
                <w:lang w:val="en-US"/>
              </w:rPr>
              <w:t>2</w:t>
            </w:r>
            <w:r>
              <w:rPr>
                <w:rFonts w:ascii="GHEA Grapalat" w:eastAsia="Arial Unicode MS" w:hAnsi="GHEA Grapalat" w:cs="Arial"/>
                <w:bCs/>
                <w:sz w:val="20"/>
                <w:lang w:val="en-US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%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</w:p>
        </w:tc>
      </w:tr>
      <w:tr>
        <w:trPr>
          <w:cantSplit/>
          <w:trHeight w:val="29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1"/>
              </w:num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Գրավոր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որից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՝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1008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GHEA Grapalat" w:eastAsia="Arial Unicode MS" w:hAnsi="GHEA Grapalat" w:cs="Arial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53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.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5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%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</w:p>
        </w:tc>
      </w:tr>
      <w:tr>
        <w:trPr>
          <w:cantSplit/>
          <w:trHeight w:val="29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1"/>
              </w:num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վերահասցեագրված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 ՀՀ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վ</w:t>
            </w:r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արչապետի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աշխատակազմից</w:t>
            </w:r>
            <w:proofErr w:type="spellEnd"/>
            <w:r>
              <w:rPr>
                <w:rStyle w:val="a5"/>
                <w:rFonts w:ascii="GHEA Grapalat" w:eastAsia="Arial Unicode MS" w:hAnsi="GHEA Grapalat" w:cs="Arial Unicode MS"/>
                <w:sz w:val="20"/>
                <w:lang w:val="en-US"/>
              </w:rPr>
              <w:footnoteReference w:id="1"/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10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GHEA Grapalat" w:eastAsia="Arial Unicode MS" w:hAnsi="GHEA Grapalat" w:cs="Arial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0.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5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%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</w:p>
        </w:tc>
      </w:tr>
      <w:tr>
        <w:trPr>
          <w:cantSplit/>
          <w:trHeight w:val="29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1"/>
              </w:num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ընդամենը</w:t>
            </w:r>
            <w:proofErr w:type="spellEnd"/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1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884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100%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</w:p>
        </w:tc>
      </w:tr>
      <w:tr>
        <w:trPr>
          <w:cantSplit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2.</w:t>
            </w:r>
          </w:p>
        </w:tc>
        <w:tc>
          <w:tcPr>
            <w:tcW w:w="9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lang w:val="en-US"/>
              </w:rPr>
            </w:pP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lang w:val="en-US"/>
              </w:rPr>
              <w:t>Ըստ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lang w:val="en-US"/>
              </w:rPr>
              <w:t>բնույթի</w:t>
            </w:r>
            <w:proofErr w:type="spellEnd"/>
          </w:p>
          <w:p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</w:p>
        </w:tc>
      </w:tr>
      <w:tr>
        <w:trPr>
          <w:cantSplit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2"/>
              </w:num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պետական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կառավարման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համակարգի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և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տեղական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ինքնակառավարման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մարմինների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ու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դրանց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գործունեության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վերաբերյալ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26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1.4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%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22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-ին </w:t>
            </w:r>
            <w:proofErr w:type="spellStart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պատասխանվել</w:t>
            </w:r>
            <w:proofErr w:type="spellEnd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 է</w:t>
            </w:r>
          </w:p>
          <w:p>
            <w:pPr>
              <w:ind w:right="-186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4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-ն </w:t>
            </w:r>
            <w:proofErr w:type="spellStart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ընթացքի</w:t>
            </w:r>
            <w:proofErr w:type="spellEnd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մեջ</w:t>
            </w:r>
            <w:proofErr w:type="spellEnd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 է</w:t>
            </w:r>
          </w:p>
        </w:tc>
      </w:tr>
      <w:tr>
        <w:trPr>
          <w:cantSplit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2"/>
              </w:num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իրավապահ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(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այդ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թվում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ԱԱԾ),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դատական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համակարգի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մարմինների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ու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դրանց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գործունեության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վերաբերյալ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72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3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.8% 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59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-ին </w:t>
            </w:r>
            <w:proofErr w:type="spellStart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պատասխանվել</w:t>
            </w:r>
            <w:proofErr w:type="spellEnd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 է</w:t>
            </w:r>
          </w:p>
          <w:p>
            <w:pPr>
              <w:ind w:right="-186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13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-ն </w:t>
            </w:r>
            <w:proofErr w:type="spellStart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ընթացքի</w:t>
            </w:r>
            <w:proofErr w:type="spellEnd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մեջ</w:t>
            </w:r>
            <w:proofErr w:type="spellEnd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 է</w:t>
            </w:r>
          </w:p>
        </w:tc>
      </w:tr>
      <w:tr>
        <w:trPr>
          <w:cantSplit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2"/>
              </w:num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դրամական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աջակցություն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ստանալու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վերաբերյալ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1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0.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1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%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պատասխանվել</w:t>
            </w:r>
            <w:proofErr w:type="spellEnd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 է</w:t>
            </w:r>
          </w:p>
          <w:p>
            <w:pP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</w:p>
        </w:tc>
      </w:tr>
      <w:tr>
        <w:trPr>
          <w:cantSplit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2"/>
              </w:num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աշխատանքի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ընդունվելու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վերաբերյալ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435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23.1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%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405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-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ին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պատասխանվել</w:t>
            </w:r>
            <w:proofErr w:type="spellEnd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 է,</w:t>
            </w:r>
          </w:p>
          <w:p>
            <w:pPr>
              <w:rPr>
                <w:rFonts w:ascii="Arial" w:eastAsia="Arial Unicode MS" w:hAnsi="Arial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3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0-ն </w:t>
            </w:r>
            <w:proofErr w:type="spellStart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ընթացքի</w:t>
            </w:r>
            <w:proofErr w:type="spellEnd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մեջ</w:t>
            </w:r>
            <w:proofErr w:type="spellEnd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 է</w:t>
            </w:r>
          </w:p>
        </w:tc>
      </w:tr>
      <w:tr>
        <w:trPr>
          <w:cantSplit/>
          <w:trHeight w:val="237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2"/>
              </w:num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սոցիալ-տնտեսական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կենցաղային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հարցերի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վերաբերյալ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201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10.6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%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188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-ին </w:t>
            </w:r>
            <w:proofErr w:type="spellStart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պատասխանվել</w:t>
            </w:r>
            <w:proofErr w:type="spellEnd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 է</w:t>
            </w:r>
          </w:p>
          <w:p>
            <w:pPr>
              <w:ind w:right="-186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13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-ն </w:t>
            </w:r>
            <w:proofErr w:type="spellStart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ընթացքի</w:t>
            </w:r>
            <w:proofErr w:type="spellEnd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մեջ</w:t>
            </w:r>
            <w:proofErr w:type="spellEnd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 է</w:t>
            </w:r>
          </w:p>
        </w:tc>
      </w:tr>
      <w:tr>
        <w:trPr>
          <w:cantSplit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2"/>
              </w:num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տեղեկատվություն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ստանալու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հարցումներ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256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13.6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%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249-ին </w:t>
            </w:r>
            <w:proofErr w:type="spellStart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պատասխանվել</w:t>
            </w:r>
            <w:proofErr w:type="spellEnd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 է</w:t>
            </w:r>
          </w:p>
          <w:p>
            <w:pP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7-ն </w:t>
            </w:r>
            <w:proofErr w:type="spellStart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ընթացքի</w:t>
            </w:r>
            <w:proofErr w:type="spellEnd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մեջ</w:t>
            </w:r>
            <w:proofErr w:type="spellEnd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 է</w:t>
            </w:r>
          </w:p>
        </w:tc>
      </w:tr>
      <w:tr>
        <w:trPr>
          <w:cantSplit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2"/>
              </w:num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այլ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բնույթի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հարցեր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(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այդ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թվում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՝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հեռախոսազանգի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միջոցով</w:t>
            </w:r>
            <w:proofErr w:type="spellEnd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893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47.4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%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892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-ին </w:t>
            </w:r>
            <w:proofErr w:type="spellStart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պատասխանվել</w:t>
            </w:r>
            <w:proofErr w:type="spellEnd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 է</w:t>
            </w:r>
          </w:p>
          <w:p>
            <w:pP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1-ն </w:t>
            </w:r>
            <w:proofErr w:type="spellStart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ընթացքի</w:t>
            </w:r>
            <w:proofErr w:type="spellEnd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մեջ</w:t>
            </w:r>
            <w:proofErr w:type="spellEnd"/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 է</w:t>
            </w:r>
          </w:p>
        </w:tc>
      </w:tr>
      <w:tr>
        <w:trPr>
          <w:cantSplit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2"/>
              </w:num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  <w:proofErr w:type="spellStart"/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ընդամենը</w:t>
            </w:r>
            <w:proofErr w:type="spellEnd"/>
          </w:p>
        </w:tc>
        <w:tc>
          <w:tcPr>
            <w:tcW w:w="6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/>
                <w:bCs/>
                <w:sz w:val="20"/>
                <w:lang w:val="en-US"/>
              </w:rPr>
              <w:t>1</w:t>
            </w:r>
            <w:r>
              <w:rPr>
                <w:rFonts w:ascii="GHEA Grapalat" w:eastAsia="Arial Unicode MS" w:hAnsi="GHEA Grapalat" w:cs="Arial Unicode MS"/>
                <w:b/>
                <w:bCs/>
                <w:sz w:val="20"/>
                <w:lang w:val="en-US"/>
              </w:rPr>
              <w:t>884</w:t>
            </w:r>
          </w:p>
        </w:tc>
      </w:tr>
    </w:tbl>
  </w:body>
</w:document>
</file>

<file path=word/endnotes.xml><?xml version="1.0" encoding="utf-8"?>
<w:endnotes xmlns:w="http://schemas.openxmlformats.org/wordprocessingml/2006/main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Wingdings">
    <w:charset w:val="02"/>
    <w:family w:val="auto"/>
    <w:panose1 w:val="05000000000000000000"/>
    <w:pitch w:val="variable"/>
    <w:sig w:usb0="00000000" w:usb1="10000000" w:usb2="00000000" w:usb3="00000000" w:csb0="80000000" w:csb1="00000000"/>
  </w:font>
  <w:font w:name="Times New Roman">
    <w:charset w:val="CC"/>
    <w:family w:val="roman"/>
    <w:panose1 w:val="02020603050405020304"/>
    <w:pitch w:val="variable"/>
    <w:sig w:usb0="E0002AFF" w:usb1="C0007841" w:usb2="00000009" w:usb3="00000000" w:csb0="000001FF" w:csb1="00000000"/>
  </w:font>
  <w:font w:name="Calibri">
    <w:charset w:val="CC"/>
    <w:family w:val="swiss"/>
    <w:panose1 w:val="020F0502020204030204"/>
    <w:pitch w:val="variable"/>
    <w:sig w:usb0="E00002FF" w:usb1="4000ACFF" w:usb2="00000001" w:usb3="00000000" w:csb0="0000019F" w:csb1="00000000"/>
  </w:font>
  <w:font w:name="Times Armenian">
    <w:charset w:val="00"/>
    <w:family w:val="roman"/>
    <w:panose1 w:val="02020603050405020304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anose1 w:val="02000506050000020003"/>
    <w:pitch w:val="variable"/>
    <w:sig w:usb0="A00006AF" w:usb1="5000204B" w:usb2="00000000" w:usb3="00000000" w:csb0="0000009F" w:csb1="00000000"/>
  </w:font>
  <w:font w:name="Sylfaen">
    <w:charset w:val="CC"/>
    <w:family w:val="roman"/>
    <w:panose1 w:val="010A0502050306030303"/>
    <w:pitch w:val="variable"/>
    <w:sig w:usb0="04000687" w:usb1="00000000" w:usb2="00000000" w:usb3="00000000" w:csb0="0000009F" w:csb1="00000000"/>
  </w:font>
  <w:font w:name="Arial Unicode MS">
    <w:charset w:val="80"/>
    <w:family w:val="swiss"/>
    <w:panose1 w:val="020B0604020202020204"/>
    <w:pitch w:val="variable"/>
    <w:sig w:usb0="F7FFAFFF" w:usb1="E9DFFFFF" w:usb2="0000003F" w:usb3="00000000" w:csb0="003F01FF" w:csb1="00000000"/>
  </w:font>
  <w:font w:name="Arial">
    <w:charset w:val="CC"/>
    <w:family w:val="swiss"/>
    <w:panose1 w:val="020B0604020202020204"/>
    <w:pitch w:val="variable"/>
    <w:sig w:usb0="E0002AFF" w:usb1="C0007843" w:usb2="00000009" w:usb3="00000000" w:csb0="000001FF" w:csb1="00000000"/>
  </w:font>
  <w:font w:name="Calibri Light">
    <w:charset w:val="CC"/>
    <w:family w:val="swiss"/>
    <w:panose1 w:val="020F0302020204030204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a3"/>
        <w:rPr>
          <w:rFonts w:ascii="GHEA Grapalat" w:hAnsi="GHEA Grapalat"/>
          <w:lang w:val="en-US"/>
        </w:rPr>
      </w:pPr>
      <w:r>
        <w:rPr>
          <w:rStyle w:val="a5"/>
        </w:rPr>
        <w:footnoteRef/>
      </w:r>
      <w:r>
        <w:t xml:space="preserve"> </w:t>
      </w:r>
      <w:r>
        <w:rPr>
          <w:rFonts w:ascii="GHEA Grapalat" w:hAnsi="GHEA Grapalat"/>
          <w:lang w:val="en-US"/>
        </w:rPr>
        <w:t xml:space="preserve">ՀՀ </w:t>
      </w:r>
      <w:proofErr w:type="spellStart"/>
      <w:r>
        <w:rPr>
          <w:rFonts w:ascii="GHEA Grapalat" w:hAnsi="GHEA Grapalat"/>
          <w:lang w:val="en-US"/>
        </w:rPr>
        <w:t>վ</w:t>
      </w:r>
      <w:r>
        <w:rPr>
          <w:rFonts w:ascii="GHEA Grapalat" w:hAnsi="GHEA Grapalat"/>
          <w:lang w:val="en-US"/>
        </w:rPr>
        <w:t>արչապետի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աշխատակազմից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վերահասցեագրվածները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ներառված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գրավոր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դիմումների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քանակի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մեջ</w:t>
      </w:r>
      <w:proofErr w:type="spellEnd"/>
    </w:p>
  </w:footnote>
</w:footnotes>
</file>

<file path=word/numbering.xml><?xml version="1.0" encoding="utf-8"?>
<w:numbering xmlns:w="http://schemas.openxmlformats.org/wordprocessingml/2006/main">
  <w:abstractNum w:abstractNumId="0"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  <w:multiLevelType w:val="hybridMultilevel"/>
    <w:tmpl w:val="82B0265E"/>
  </w:abstractNum>
  <w:abstractNum w:abstractNumId="1"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  <w:multiLevelType w:val="hybridMultilevel"/>
    <w:tmpl w:val="16D43E7A"/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v="urn:schemas-microsoft-com:vml" xmlns:w="http://schemas.openxmlformats.org/wordprocessingml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m:mathPr>
    <m:brkBin m:val="before"/>
    <m:brkBinSub m:val="--"/>
    <m:defJc m:val="centerGroup"/>
    <m:dispDef/>
    <m:intLim m:val="subSup"/>
    <m:lMargin m:val="0"/>
    <m:mathFont m:val="Cambria Math"/>
    <m:naryLim m:val="undOvr"/>
    <m:rMargin m:val="0"/>
    <m:smallFrac m:val="off"/>
    <m:wrapIndent m:val="1440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pPrDefault>
      <w:pPr>
        <w:spacing w:after="160" w:line="259" w:lineRule="auto"/>
      </w:pPr>
    </w:pPrDefault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qFormat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1">
    <w:basedOn w:val="a"/>
    <w:link w:val="10"/>
    <w:name w:val="heading 1"/>
    <w:next w:val="a"/>
    <w:pPr>
      <w:keepNext/>
      <w:jc w:val="center"/>
      <w:outlineLvl w:val="0"/>
    </w:pPr>
    <w:qFormat/>
    <w:rPr>
      <w:rFonts w:ascii="Times Armenian" w:hAnsi="Times Armenian"/>
      <w:b/>
      <w:bCs/>
      <w:lang w:val="en-US"/>
    </w:rPr>
  </w:style>
  <w:style w:type="character" w:default="1" w:styleId="a0">
    <w:name w:val="Default Paragraph Font"/>
    <w:semiHidden/>
    <w:uiPriority w:val="1"/>
    <w:unhideWhenUsed/>
  </w:style>
  <w:style w:type="table" w:default="1" w:styleId="a1">
    <w:name w:val="Normal Table"/>
    <w:qFormat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uiPriority w:val="99"/>
    <w:unhideWhenUsed/>
  </w:style>
  <w:style w:type="numbering" w:default="1" w:styleId="a2">
    <w:name w:val="No List"/>
    <w:semiHidden/>
    <w:uiPriority w:val="99"/>
    <w:unhideWhenUsed/>
  </w:style>
  <w:style w:type="character" w:customStyle="1" w:styleId="10">
    <w:basedOn w:val="a0"/>
    <w:link w:val="1"/>
    <w:name w:val="Заголовок 1 Знак"/>
    <w:rPr>
      <w:rFonts w:ascii="Times Armenian" w:eastAsia="Times New Roman" w:hAnsi="Times Armenian" w:cs="Times New Roman"/>
      <w:b/>
      <w:bCs/>
      <w:sz w:val="24"/>
      <w:szCs w:val="20"/>
      <w:lang w:eastAsia="ru-RU"/>
    </w:rPr>
  </w:style>
  <w:style w:type="paragraph" w:styleId="a3">
    <w:basedOn w:val="a"/>
    <w:link w:val="a4"/>
    <w:name w:val="footnote text"/>
    <w:rPr>
      <w:sz w:val="20"/>
    </w:rPr>
    <w:semiHidden/>
    <w:uiPriority w:val="99"/>
    <w:unhideWhenUsed/>
  </w:style>
  <w:style w:type="character" w:customStyle="1" w:styleId="a4">
    <w:basedOn w:val="a0"/>
    <w:link w:val="a3"/>
    <w:name w:val="Текст сноски Знак"/>
    <w:rPr>
      <w:rFonts w:ascii="Times New Roman" w:eastAsia="Times New Roman" w:hAnsi="Times New Roman" w:cs="Times New Roman"/>
      <w:sz w:val="20"/>
      <w:szCs w:val="20"/>
      <w:lang w:val="ru-RU" w:eastAsia="ru-RU"/>
    </w:rPr>
    <w:semiHidden/>
    <w:uiPriority w:val="99"/>
  </w:style>
  <w:style w:type="character" w:styleId="a5">
    <w:basedOn w:val="a0"/>
    <w:name w:val="footnote reference"/>
    <w:rPr>
      <w:vertAlign w:val="superscript"/>
    </w:rPr>
    <w:semiHidden/>
    <w:uiPriority w:val="99"/>
    <w:unhideWhenUsed/>
  </w:style>
</w:styles>
</file>

<file path=word/_rels/document.xml.rels><?xml version='1.0' encoding='utf-8'?>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/>
</file>

<file path=docProps/core.xml><?xml version="1.0" encoding="utf-8"?>
<cp:coreProperties xmlns:cp="http://schemas.openxmlformats.org/package/2006/metadata/core-properties"/>
</file>